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24AB4" w14:textId="22B15F21" w:rsidR="00993EFE" w:rsidRPr="001E0E46" w:rsidRDefault="00993EFE" w:rsidP="00993EFE">
      <w:pPr>
        <w:pStyle w:val="CRCoverPage"/>
        <w:tabs>
          <w:tab w:val="left" w:pos="1980"/>
        </w:tabs>
        <w:jc w:val="both"/>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RAN WG1 Meeting #9</w:t>
      </w:r>
      <w:r>
        <w:rPr>
          <w:rFonts w:ascii="Times New Roman" w:eastAsia="SimSun" w:hAnsi="Times New Roman"/>
          <w:b/>
          <w:sz w:val="24"/>
          <w:lang w:val="en-US" w:eastAsia="zh-CN"/>
        </w:rPr>
        <w:t>3</w:t>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t xml:space="preserve">    </w:t>
      </w:r>
      <w:r w:rsidR="00972D25">
        <w:rPr>
          <w:rFonts w:ascii="Times New Roman" w:eastAsia="SimSun" w:hAnsi="Times New Roman"/>
          <w:b/>
          <w:sz w:val="24"/>
          <w:lang w:val="en-US" w:eastAsia="zh-CN"/>
        </w:rPr>
        <w:t>R1-1807038</w:t>
      </w:r>
    </w:p>
    <w:p w14:paraId="7A68CCFB" w14:textId="77777777" w:rsidR="00993EFE" w:rsidRPr="001E0E46" w:rsidRDefault="00993EFE" w:rsidP="00993EFE">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Busan, Korea</w:t>
      </w:r>
      <w:r w:rsidRPr="001E0E46">
        <w:rPr>
          <w:rFonts w:ascii="Times New Roman" w:eastAsia="SimSun" w:hAnsi="Times New Roman"/>
          <w:b/>
          <w:sz w:val="24"/>
          <w:lang w:val="en-US" w:eastAsia="zh-CN"/>
        </w:rPr>
        <w:t xml:space="preserve">, </w:t>
      </w:r>
      <w:r>
        <w:rPr>
          <w:rFonts w:ascii="Times New Roman" w:eastAsia="SimSun" w:hAnsi="Times New Roman"/>
          <w:b/>
          <w:sz w:val="24"/>
          <w:lang w:val="en-US" w:eastAsia="zh-CN"/>
        </w:rPr>
        <w:t>May 21</w:t>
      </w:r>
      <w:r>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18CA11C" w14:textId="77777777" w:rsidR="00993EFE" w:rsidRPr="001E0E46" w:rsidRDefault="00993EFE" w:rsidP="00993EFE">
      <w:pPr>
        <w:pStyle w:val="CRCoverPage"/>
        <w:tabs>
          <w:tab w:val="left" w:pos="1980"/>
        </w:tabs>
        <w:jc w:val="both"/>
        <w:rPr>
          <w:rFonts w:ascii="Times New Roman" w:hAnsi="Times New Roman"/>
          <w:b/>
          <w:bCs/>
          <w:sz w:val="24"/>
          <w:lang w:val="en-US"/>
        </w:rPr>
      </w:pPr>
    </w:p>
    <w:p w14:paraId="6FA141D4" w14:textId="5671BB8D"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ED6876">
        <w:rPr>
          <w:rFonts w:ascii="Times New Roman" w:hAnsi="Times New Roman"/>
          <w:b/>
          <w:bCs/>
          <w:sz w:val="24"/>
          <w:lang w:val="en-US"/>
        </w:rPr>
        <w:t>6.4</w:t>
      </w:r>
      <w:r w:rsidR="00651144">
        <w:rPr>
          <w:rFonts w:ascii="Times New Roman" w:hAnsi="Times New Roman"/>
          <w:b/>
          <w:bCs/>
          <w:sz w:val="24"/>
          <w:lang w:val="en-US"/>
        </w:rPr>
        <w:t>.3</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3725A414"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993EFE" w:rsidRPr="00993EFE">
        <w:rPr>
          <w:b/>
          <w:bCs/>
          <w:sz w:val="24"/>
          <w:lang w:val="en-US"/>
        </w:rPr>
        <w:t>Discussion on HARQ Procedure in NR-Unlicensed</w:t>
      </w:r>
    </w:p>
    <w:p w14:paraId="20F2A3ED" w14:textId="48C0346C"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r w:rsidR="00CD15BB" w:rsidRPr="001E0E46">
        <w:rPr>
          <w:b/>
          <w:bCs/>
          <w:sz w:val="24"/>
          <w:lang w:val="en-US"/>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38C148AC" w14:textId="7C1BE912" w:rsidR="00993EFE" w:rsidRPr="0043234D" w:rsidRDefault="00993EFE" w:rsidP="00993EFE">
      <w:r w:rsidRPr="0043234D">
        <w:t>In RAN1#92b</w:t>
      </w:r>
      <w:r w:rsidR="00F60E42" w:rsidRPr="0043234D">
        <w:t>is</w:t>
      </w:r>
      <w:r w:rsidRPr="0043234D">
        <w:t xml:space="preserve"> meeting [1], the following agreement was reached:</w:t>
      </w:r>
    </w:p>
    <w:p w14:paraId="253587C3" w14:textId="77777777" w:rsidR="00993EFE" w:rsidRPr="0043234D" w:rsidRDefault="00993EFE" w:rsidP="00993EFE">
      <w:pPr>
        <w:rPr>
          <w:rFonts w:eastAsiaTheme="minorHAnsi"/>
        </w:rPr>
      </w:pPr>
      <w:r w:rsidRPr="0043234D">
        <w:rPr>
          <w:highlight w:val="green"/>
        </w:rPr>
        <w:t>Agreement:</w:t>
      </w:r>
    </w:p>
    <w:p w14:paraId="11A5FCA3" w14:textId="77777777" w:rsidR="00993EFE" w:rsidRPr="0043234D" w:rsidRDefault="00993EFE" w:rsidP="00993EFE">
      <w:pPr>
        <w:numPr>
          <w:ilvl w:val="0"/>
          <w:numId w:val="21"/>
        </w:numPr>
        <w:overflowPunct/>
        <w:autoSpaceDE/>
        <w:autoSpaceDN/>
        <w:adjustRightInd/>
        <w:spacing w:after="0"/>
        <w:textAlignment w:val="auto"/>
        <w:rPr>
          <w:rFonts w:eastAsia="Times New Roman"/>
        </w:rPr>
      </w:pPr>
      <w:r w:rsidRPr="0043234D">
        <w:rPr>
          <w:rFonts w:eastAsia="Times New Roman"/>
        </w:rPr>
        <w:t xml:space="preserve">Study possible enhancements for HARQ operation </w:t>
      </w:r>
    </w:p>
    <w:p w14:paraId="27D9C6EB" w14:textId="77777777" w:rsidR="00993EFE" w:rsidRPr="0043234D" w:rsidRDefault="00993EFE" w:rsidP="00993EFE">
      <w:pPr>
        <w:numPr>
          <w:ilvl w:val="0"/>
          <w:numId w:val="21"/>
        </w:numPr>
        <w:overflowPunct/>
        <w:autoSpaceDE/>
        <w:autoSpaceDN/>
        <w:adjustRightInd/>
        <w:spacing w:after="0"/>
        <w:textAlignment w:val="auto"/>
        <w:rPr>
          <w:rFonts w:eastAsia="Times New Roman"/>
        </w:rPr>
      </w:pPr>
      <w:r w:rsidRPr="0043234D">
        <w:rPr>
          <w:rFonts w:eastAsia="Times New Roman"/>
        </w:rPr>
        <w:t>Study changes needed for Configured Grant support in NR-U</w:t>
      </w:r>
    </w:p>
    <w:p w14:paraId="68B0E6B5" w14:textId="77777777" w:rsidR="00993EFE" w:rsidRPr="0043234D" w:rsidRDefault="00993EFE" w:rsidP="00993EFE">
      <w:pPr>
        <w:numPr>
          <w:ilvl w:val="0"/>
          <w:numId w:val="21"/>
        </w:numPr>
        <w:overflowPunct/>
        <w:autoSpaceDE/>
        <w:autoSpaceDN/>
        <w:adjustRightInd/>
        <w:spacing w:after="0"/>
        <w:textAlignment w:val="auto"/>
        <w:rPr>
          <w:rFonts w:eastAsia="Times New Roman"/>
        </w:rPr>
      </w:pPr>
      <w:r w:rsidRPr="0043234D">
        <w:rPr>
          <w:rFonts w:eastAsia="Times New Roman"/>
        </w:rPr>
        <w:t xml:space="preserve">Baseline for study: If absence of Wi-Fi cannot be guaranteed (e.g. by regulation) in the band (sub-7 GHz) where NR-U is operating, the NR-U operating bandwidth is an integer multiple of 20MHz </w:t>
      </w:r>
    </w:p>
    <w:p w14:paraId="658F9694" w14:textId="77777777" w:rsidR="00993EFE" w:rsidRPr="0043234D" w:rsidRDefault="00993EFE" w:rsidP="00993EFE">
      <w:pPr>
        <w:numPr>
          <w:ilvl w:val="0"/>
          <w:numId w:val="21"/>
        </w:numPr>
        <w:overflowPunct/>
        <w:autoSpaceDE/>
        <w:autoSpaceDN/>
        <w:adjustRightInd/>
        <w:spacing w:after="0"/>
        <w:textAlignment w:val="auto"/>
        <w:rPr>
          <w:rFonts w:eastAsia="Times New Roman"/>
        </w:rPr>
      </w:pPr>
      <w:r w:rsidRPr="0043234D">
        <w:rPr>
          <w:rFonts w:eastAsia="Times New Roman"/>
        </w:rPr>
        <w:t xml:space="preserve">At least for band where absence of Wi-Fi cannot be guaranteed (e.g. by regulation), LBT can be performed in units of 20 MHz. </w:t>
      </w:r>
    </w:p>
    <w:p w14:paraId="50908A06" w14:textId="77777777" w:rsidR="00993EFE" w:rsidRPr="0043234D" w:rsidRDefault="00993EFE" w:rsidP="00993EFE">
      <w:pPr>
        <w:numPr>
          <w:ilvl w:val="1"/>
          <w:numId w:val="21"/>
        </w:numPr>
        <w:overflowPunct/>
        <w:autoSpaceDE/>
        <w:autoSpaceDN/>
        <w:adjustRightInd/>
        <w:spacing w:after="0"/>
        <w:textAlignment w:val="auto"/>
        <w:rPr>
          <w:rFonts w:eastAsia="Times New Roman"/>
        </w:rPr>
      </w:pPr>
      <w:r w:rsidRPr="0043234D">
        <w:rPr>
          <w:rFonts w:eastAsia="Times New Roman"/>
        </w:rPr>
        <w:t>FFS: details on how to perform LBT for as single carrier with bandwidth greater than 20 MHz, i.e., integer multiples of 20 MHz.</w:t>
      </w:r>
    </w:p>
    <w:p w14:paraId="540BF559" w14:textId="77777777" w:rsidR="00993EFE" w:rsidRPr="0043234D" w:rsidRDefault="00993EFE" w:rsidP="00993EFE">
      <w:pPr>
        <w:numPr>
          <w:ilvl w:val="0"/>
          <w:numId w:val="21"/>
        </w:numPr>
        <w:overflowPunct/>
        <w:autoSpaceDE/>
        <w:autoSpaceDN/>
        <w:adjustRightInd/>
        <w:spacing w:after="0"/>
        <w:textAlignment w:val="auto"/>
        <w:rPr>
          <w:rFonts w:eastAsia="Times New Roman"/>
        </w:rPr>
      </w:pPr>
      <w:r w:rsidRPr="0043234D">
        <w:rPr>
          <w:rFonts w:eastAsia="Times New Roman"/>
        </w:rPr>
        <w:t xml:space="preserve">Study </w:t>
      </w:r>
      <w:proofErr w:type="gramStart"/>
      <w:r w:rsidRPr="0043234D">
        <w:rPr>
          <w:rFonts w:eastAsia="Times New Roman"/>
        </w:rPr>
        <w:t>whether or not</w:t>
      </w:r>
      <w:proofErr w:type="gramEnd"/>
      <w:r w:rsidRPr="0043234D">
        <w:rPr>
          <w:rFonts w:eastAsia="Times New Roman"/>
        </w:rPr>
        <w:t xml:space="preserve"> the following techniques enhance performance beyond the baseline LBT mechanisms</w:t>
      </w:r>
    </w:p>
    <w:p w14:paraId="69D04A1F" w14:textId="77777777" w:rsidR="00993EFE" w:rsidRPr="0043234D" w:rsidRDefault="00993EFE" w:rsidP="00993EFE">
      <w:pPr>
        <w:numPr>
          <w:ilvl w:val="1"/>
          <w:numId w:val="21"/>
        </w:numPr>
        <w:overflowPunct/>
        <w:autoSpaceDE/>
        <w:autoSpaceDN/>
        <w:adjustRightInd/>
        <w:spacing w:after="0"/>
        <w:textAlignment w:val="auto"/>
        <w:rPr>
          <w:rFonts w:eastAsia="Times New Roman"/>
        </w:rPr>
      </w:pPr>
      <w:r w:rsidRPr="0043234D">
        <w:rPr>
          <w:rFonts w:eastAsia="Times New Roman"/>
        </w:rPr>
        <w:t>Techniques to cope with directional antennas/transmissions</w:t>
      </w:r>
    </w:p>
    <w:p w14:paraId="76B86B96" w14:textId="77777777" w:rsidR="00993EFE" w:rsidRPr="0043234D" w:rsidRDefault="00993EFE" w:rsidP="00993EFE">
      <w:pPr>
        <w:numPr>
          <w:ilvl w:val="1"/>
          <w:numId w:val="21"/>
        </w:numPr>
        <w:overflowPunct/>
        <w:autoSpaceDE/>
        <w:autoSpaceDN/>
        <w:adjustRightInd/>
        <w:spacing w:after="0"/>
        <w:textAlignment w:val="auto"/>
        <w:rPr>
          <w:rFonts w:eastAsia="Times New Roman"/>
        </w:rPr>
      </w:pPr>
      <w:r w:rsidRPr="0043234D">
        <w:rPr>
          <w:rFonts w:eastAsia="Times New Roman"/>
        </w:rPr>
        <w:t>Receiver assisted LBT: RTS/CTS type mechanism</w:t>
      </w:r>
    </w:p>
    <w:p w14:paraId="1C046204" w14:textId="77777777" w:rsidR="00993EFE" w:rsidRPr="0043234D" w:rsidRDefault="00993EFE" w:rsidP="00993EFE">
      <w:pPr>
        <w:numPr>
          <w:ilvl w:val="2"/>
          <w:numId w:val="21"/>
        </w:numPr>
        <w:overflowPunct/>
        <w:autoSpaceDE/>
        <w:autoSpaceDN/>
        <w:adjustRightInd/>
        <w:spacing w:after="0"/>
        <w:textAlignment w:val="auto"/>
        <w:rPr>
          <w:rFonts w:eastAsia="Times New Roman"/>
        </w:rPr>
      </w:pPr>
      <w:r w:rsidRPr="0043234D">
        <w:rPr>
          <w:rFonts w:eastAsia="Times New Roman"/>
        </w:rPr>
        <w:t xml:space="preserve">On-demand receiver assisted LBT: For example, receiver assisted LBT enabled only when needed </w:t>
      </w:r>
    </w:p>
    <w:p w14:paraId="6F30E521" w14:textId="77777777" w:rsidR="00993EFE" w:rsidRPr="0043234D" w:rsidRDefault="00993EFE" w:rsidP="00993EFE">
      <w:pPr>
        <w:numPr>
          <w:ilvl w:val="1"/>
          <w:numId w:val="21"/>
        </w:numPr>
        <w:overflowPunct/>
        <w:autoSpaceDE/>
        <w:autoSpaceDN/>
        <w:adjustRightInd/>
        <w:spacing w:after="0"/>
        <w:textAlignment w:val="auto"/>
        <w:rPr>
          <w:rFonts w:eastAsia="Times New Roman"/>
        </w:rPr>
      </w:pPr>
      <w:r w:rsidRPr="0043234D">
        <w:rPr>
          <w:rFonts w:eastAsia="Times New Roman"/>
        </w:rPr>
        <w:t xml:space="preserve">Techniques to enhance spatial reuse </w:t>
      </w:r>
    </w:p>
    <w:p w14:paraId="41D30D3D" w14:textId="77777777" w:rsidR="00993EFE" w:rsidRPr="0043234D" w:rsidRDefault="00993EFE" w:rsidP="00993EFE">
      <w:pPr>
        <w:numPr>
          <w:ilvl w:val="1"/>
          <w:numId w:val="21"/>
        </w:numPr>
        <w:overflowPunct/>
        <w:autoSpaceDE/>
        <w:autoSpaceDN/>
        <w:adjustRightInd/>
        <w:spacing w:after="0"/>
        <w:textAlignment w:val="auto"/>
        <w:rPr>
          <w:rFonts w:eastAsia="Times New Roman"/>
        </w:rPr>
      </w:pPr>
      <w:r w:rsidRPr="0043234D">
        <w:rPr>
          <w:rFonts w:eastAsia="Times New Roman"/>
        </w:rPr>
        <w:t>Preamble detection</w:t>
      </w:r>
    </w:p>
    <w:p w14:paraId="58AFA684" w14:textId="77777777" w:rsidR="00993EFE" w:rsidRPr="0043234D" w:rsidRDefault="00993EFE" w:rsidP="00993EFE">
      <w:pPr>
        <w:numPr>
          <w:ilvl w:val="1"/>
          <w:numId w:val="21"/>
        </w:numPr>
        <w:overflowPunct/>
        <w:autoSpaceDE/>
        <w:autoSpaceDN/>
        <w:adjustRightInd/>
        <w:spacing w:after="0"/>
        <w:textAlignment w:val="auto"/>
        <w:rPr>
          <w:rFonts w:eastAsia="Times New Roman"/>
        </w:rPr>
      </w:pPr>
      <w:r w:rsidRPr="0043234D">
        <w:rPr>
          <w:rFonts w:eastAsia="Times New Roman"/>
        </w:rPr>
        <w:t>Enhancements to baseline LBT mechanisms above 7 GHz</w:t>
      </w:r>
    </w:p>
    <w:p w14:paraId="6593E91F" w14:textId="77777777" w:rsidR="00993EFE" w:rsidRPr="0043234D" w:rsidRDefault="00993EFE" w:rsidP="00993EFE">
      <w:pPr>
        <w:numPr>
          <w:ilvl w:val="0"/>
          <w:numId w:val="21"/>
        </w:numPr>
        <w:overflowPunct/>
        <w:autoSpaceDE/>
        <w:autoSpaceDN/>
        <w:adjustRightInd/>
        <w:spacing w:after="0"/>
        <w:textAlignment w:val="auto"/>
        <w:rPr>
          <w:rFonts w:eastAsia="Times New Roman"/>
        </w:rPr>
      </w:pPr>
      <w:r w:rsidRPr="0043234D">
        <w:rPr>
          <w:rFonts w:eastAsia="Times New Roman"/>
        </w:rPr>
        <w:t xml:space="preserve">Note: LTE-LAA LBT mechanism are assumed as baseline for evaluations for 5GHz. </w:t>
      </w:r>
    </w:p>
    <w:p w14:paraId="76633BED" w14:textId="77777777" w:rsidR="00993EFE" w:rsidRPr="0043234D" w:rsidRDefault="00993EFE" w:rsidP="00993EFE">
      <w:pPr>
        <w:numPr>
          <w:ilvl w:val="0"/>
          <w:numId w:val="21"/>
        </w:numPr>
        <w:overflowPunct/>
        <w:autoSpaceDE/>
        <w:autoSpaceDN/>
        <w:adjustRightInd/>
        <w:spacing w:after="0"/>
        <w:textAlignment w:val="auto"/>
        <w:rPr>
          <w:rFonts w:eastAsia="Times New Roman"/>
        </w:rPr>
      </w:pPr>
      <w:r w:rsidRPr="0043234D">
        <w:rPr>
          <w:rFonts w:eastAsia="Times New Roman"/>
        </w:rPr>
        <w:t>Note: Other aspects are not precluded from being included</w:t>
      </w:r>
    </w:p>
    <w:p w14:paraId="57FEE1FE" w14:textId="77777777" w:rsidR="00993EFE" w:rsidRPr="0043234D" w:rsidRDefault="00993EFE" w:rsidP="00993EFE"/>
    <w:p w14:paraId="5EAD49F7" w14:textId="32CBD6E8" w:rsidR="007C34BE" w:rsidRPr="0043234D" w:rsidRDefault="00993EFE" w:rsidP="007C34BE">
      <w:pPr>
        <w:rPr>
          <w:szCs w:val="22"/>
        </w:rPr>
      </w:pPr>
      <w:r w:rsidRPr="0043234D">
        <w:t xml:space="preserve">Considering above agreement, this contribution addresses the aspects HARQ procedures that gets affected when an NR device operates in an unlicensed band. </w:t>
      </w:r>
    </w:p>
    <w:p w14:paraId="570E10A7" w14:textId="3C19C89A" w:rsidR="00180B6F" w:rsidRPr="00BC024D" w:rsidRDefault="00FE235E" w:rsidP="006C59FF">
      <w:pPr>
        <w:pStyle w:val="Heading1"/>
        <w:rPr>
          <w:rFonts w:ascii="Times New Roman" w:hAnsi="Times New Roman"/>
          <w:b/>
          <w:sz w:val="32"/>
          <w:szCs w:val="32"/>
          <w:lang w:val="en-US"/>
        </w:rPr>
      </w:pPr>
      <w:r>
        <w:rPr>
          <w:rFonts w:ascii="Times New Roman" w:hAnsi="Times New Roman"/>
          <w:b/>
          <w:sz w:val="32"/>
          <w:szCs w:val="32"/>
        </w:rPr>
        <w:t xml:space="preserve">COT Structure and </w:t>
      </w:r>
      <w:r w:rsidR="00ED6876">
        <w:rPr>
          <w:rFonts w:ascii="Times New Roman" w:hAnsi="Times New Roman"/>
          <w:b/>
          <w:sz w:val="32"/>
          <w:szCs w:val="32"/>
        </w:rPr>
        <w:t xml:space="preserve">HARQ </w:t>
      </w:r>
      <w:r>
        <w:rPr>
          <w:rFonts w:ascii="Times New Roman" w:hAnsi="Times New Roman"/>
          <w:b/>
          <w:sz w:val="32"/>
          <w:szCs w:val="32"/>
        </w:rPr>
        <w:t>P</w:t>
      </w:r>
      <w:r w:rsidR="00ED6876">
        <w:rPr>
          <w:rFonts w:ascii="Times New Roman" w:hAnsi="Times New Roman"/>
          <w:b/>
          <w:sz w:val="32"/>
          <w:szCs w:val="32"/>
        </w:rPr>
        <w:t>rocedure</w:t>
      </w:r>
      <w:r>
        <w:rPr>
          <w:rFonts w:ascii="Times New Roman" w:hAnsi="Times New Roman"/>
          <w:b/>
          <w:sz w:val="32"/>
          <w:szCs w:val="32"/>
        </w:rPr>
        <w:t xml:space="preserve"> </w:t>
      </w:r>
    </w:p>
    <w:p w14:paraId="1E23F7AB" w14:textId="7E712008" w:rsidR="00AF19BB" w:rsidRDefault="00AF19BB" w:rsidP="00AF19BB">
      <w:r w:rsidRPr="00195028">
        <w:t xml:space="preserve">Due to uncertainty in channel access, transmissions may have to be delayed when </w:t>
      </w:r>
      <w:r>
        <w:t xml:space="preserve">the </w:t>
      </w:r>
      <w:r w:rsidRPr="00195028">
        <w:t>channel is occupied during the operation of an NR</w:t>
      </w:r>
      <w:r>
        <w:t>-U</w:t>
      </w:r>
      <w:r w:rsidRPr="00195028">
        <w:t xml:space="preserve"> device. For standalone</w:t>
      </w:r>
      <w:r>
        <w:t xml:space="preserve"> or dual connectivity</w:t>
      </w:r>
      <w:r w:rsidRPr="00195028">
        <w:t xml:space="preserve"> </w:t>
      </w:r>
      <w:r w:rsidR="002C3564">
        <w:t>deployments</w:t>
      </w:r>
      <w:r w:rsidRPr="00195028">
        <w:t>, this means the HARQ-ACK transmission</w:t>
      </w:r>
      <w:r>
        <w:t>s</w:t>
      </w:r>
      <w:r w:rsidRPr="00195028">
        <w:t xml:space="preserve"> may be delayed when the channel is occupied. </w:t>
      </w:r>
      <w:r w:rsidRPr="00195028">
        <w:fldChar w:fldCharType="begin"/>
      </w:r>
      <w:r w:rsidRPr="00195028">
        <w:instrText xml:space="preserve"> REF _Ref503354749 \h  \* MERGEFORMAT </w:instrText>
      </w:r>
      <w:r w:rsidRPr="00195028">
        <w:fldChar w:fldCharType="separate"/>
      </w:r>
      <w:r w:rsidRPr="00195028">
        <w:t xml:space="preserve">Figure </w:t>
      </w:r>
      <w:r w:rsidRPr="00195028">
        <w:rPr>
          <w:noProof/>
        </w:rPr>
        <w:t>1</w:t>
      </w:r>
      <w:r w:rsidRPr="00195028">
        <w:fldChar w:fldCharType="end"/>
      </w:r>
      <w:r w:rsidR="0053467A">
        <w:t>-a</w:t>
      </w:r>
      <w:r w:rsidRPr="00195028">
        <w:t xml:space="preserve"> shows an example</w:t>
      </w:r>
      <w:r>
        <w:t xml:space="preserve"> of shared </w:t>
      </w:r>
      <w:r w:rsidR="00DB0EC6">
        <w:t>channel occupancy time (</w:t>
      </w:r>
      <w:r>
        <w:t>COT</w:t>
      </w:r>
      <w:r w:rsidR="00DB0EC6">
        <w:t>)</w:t>
      </w:r>
      <w:r>
        <w:t xml:space="preserve"> with one DL/UL switch. In this example,</w:t>
      </w:r>
      <w:r w:rsidRPr="00195028">
        <w:t xml:space="preserve"> the last UL transmission may include PUSCHs which are not acknowledged during the first </w:t>
      </w:r>
      <w:r>
        <w:t>COT</w:t>
      </w:r>
      <w:r w:rsidRPr="00195028">
        <w:t xml:space="preserve">. The gNB, after performing </w:t>
      </w:r>
      <w:r>
        <w:t xml:space="preserve">an </w:t>
      </w:r>
      <w:r w:rsidRPr="00195028">
        <w:t xml:space="preserve">LBT procedure again, secures a second </w:t>
      </w:r>
      <w:r>
        <w:t>COT</w:t>
      </w:r>
      <w:r w:rsidRPr="00195028">
        <w:t xml:space="preserve"> within which HARQ-ACKs for the last PUSCH in the first transmission opportunity may be carried. For this operation, the gNB and the UEs may need to maintain the buffers to keep the corresponding receive/transmit transport blocks. Due to </w:t>
      </w:r>
      <w:r>
        <w:t xml:space="preserve">the </w:t>
      </w:r>
      <w:r w:rsidRPr="00195028">
        <w:t xml:space="preserve">non-deterministic duration between the two transmission opportunities, there would be additional complexity and ambiguity for the UE and gNB. In an alternative method, the HARQ-ACK transmissions may be included in the same </w:t>
      </w:r>
      <w:r>
        <w:t>COT</w:t>
      </w:r>
      <w:r w:rsidRPr="00195028">
        <w:t xml:space="preserve">, i.e. </w:t>
      </w:r>
      <w:r>
        <w:t xml:space="preserve">in </w:t>
      </w:r>
      <w:r w:rsidRPr="00195028">
        <w:t xml:space="preserve">a self-contained </w:t>
      </w:r>
      <w:r>
        <w:t>COT</w:t>
      </w:r>
      <w:r w:rsidRPr="00195028">
        <w:t xml:space="preserve">. As shown in </w:t>
      </w:r>
      <w:r w:rsidRPr="00195028">
        <w:fldChar w:fldCharType="begin"/>
      </w:r>
      <w:r w:rsidRPr="00195028">
        <w:instrText xml:space="preserve"> REF _Ref503354749 \h  \* MERGEFORMAT </w:instrText>
      </w:r>
      <w:r w:rsidRPr="00195028">
        <w:fldChar w:fldCharType="separate"/>
      </w:r>
      <w:r w:rsidRPr="00195028">
        <w:t xml:space="preserve">Figure </w:t>
      </w:r>
      <w:r w:rsidRPr="00195028">
        <w:rPr>
          <w:noProof/>
        </w:rPr>
        <w:t>1</w:t>
      </w:r>
      <w:r w:rsidRPr="00195028">
        <w:fldChar w:fldCharType="end"/>
      </w:r>
      <w:r w:rsidR="0053467A">
        <w:t>-</w:t>
      </w:r>
      <w:r w:rsidRPr="00195028">
        <w:t xml:space="preserve">b, one or several symbols of the last slot of the transmission opportunity is used to carry acknowledgement. </w:t>
      </w:r>
    </w:p>
    <w:p w14:paraId="5804EE1F" w14:textId="77777777" w:rsidR="00E213BD" w:rsidRDefault="00E213BD" w:rsidP="00AF19BB"/>
    <w:p w14:paraId="385493DC" w14:textId="77777777" w:rsidR="00AF19BB" w:rsidRPr="00195028" w:rsidRDefault="00AF19BB" w:rsidP="00AF19BB">
      <w:pPr>
        <w:keepNext/>
      </w:pPr>
      <w:r w:rsidRPr="00195028">
        <w:object w:dxaOrig="11160" w:dyaOrig="3810" w14:anchorId="6457F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3.9pt" o:ole="">
            <v:imagedata r:id="rId12" o:title=""/>
          </v:shape>
          <o:OLEObject Type="Embed" ProgID="Visio.Drawing.15" ShapeID="_x0000_i1025" DrawAspect="Content" ObjectID="_1587556536" r:id="rId13"/>
        </w:object>
      </w:r>
    </w:p>
    <w:p w14:paraId="1FB92834" w14:textId="77777777" w:rsidR="00AF19BB" w:rsidRPr="00AF19BB" w:rsidRDefault="00AF19BB" w:rsidP="00AF19BB">
      <w:pPr>
        <w:pStyle w:val="Caption"/>
        <w:rPr>
          <w:b w:val="0"/>
        </w:rPr>
      </w:pPr>
      <w:bookmarkStart w:id="0" w:name="_Ref503354749"/>
      <w:r w:rsidRPr="00AF19BB">
        <w:rPr>
          <w:b w:val="0"/>
        </w:rPr>
        <w:t xml:space="preserve">Figure </w:t>
      </w:r>
      <w:r w:rsidRPr="00AF19BB">
        <w:rPr>
          <w:b w:val="0"/>
        </w:rPr>
        <w:fldChar w:fldCharType="begin"/>
      </w:r>
      <w:r w:rsidRPr="00AF19BB">
        <w:rPr>
          <w:b w:val="0"/>
        </w:rPr>
        <w:instrText xml:space="preserve"> SEQ Figure \* ARABIC </w:instrText>
      </w:r>
      <w:r w:rsidRPr="00AF19BB">
        <w:rPr>
          <w:b w:val="0"/>
        </w:rPr>
        <w:fldChar w:fldCharType="separate"/>
      </w:r>
      <w:r w:rsidRPr="00AF19BB">
        <w:rPr>
          <w:b w:val="0"/>
          <w:noProof/>
        </w:rPr>
        <w:t>1</w:t>
      </w:r>
      <w:r w:rsidRPr="00AF19BB">
        <w:rPr>
          <w:b w:val="0"/>
          <w:noProof/>
        </w:rPr>
        <w:fldChar w:fldCharType="end"/>
      </w:r>
      <w:bookmarkEnd w:id="0"/>
      <w:r w:rsidRPr="00AF19BB">
        <w:rPr>
          <w:b w:val="0"/>
        </w:rPr>
        <w:t>: Example of HARQ-ACK transmission within a transmission opportunity</w:t>
      </w:r>
    </w:p>
    <w:p w14:paraId="1594850F" w14:textId="115EE771" w:rsidR="00E213BD" w:rsidRDefault="00E213BD" w:rsidP="00E213BD">
      <w:pPr>
        <w:rPr>
          <w:szCs w:val="22"/>
          <w:lang w:eastAsia="sv-SE"/>
        </w:rPr>
      </w:pPr>
      <w:r>
        <w:t>To enable self-contained transmission,</w:t>
      </w:r>
      <w:r w:rsidRPr="00195028">
        <w:t xml:space="preserve"> the gNB and UEs </w:t>
      </w:r>
      <w:r>
        <w:t>need to</w:t>
      </w:r>
      <w:r w:rsidRPr="00195028">
        <w:t xml:space="preserve"> prepare HARQ-ACK transmissions within a short time</w:t>
      </w:r>
      <w:r>
        <w:t xml:space="preserve">. </w:t>
      </w:r>
      <w:r>
        <w:rPr>
          <w:szCs w:val="22"/>
          <w:lang w:eastAsia="sv-SE"/>
        </w:rPr>
        <w:t xml:space="preserve">In the case of DL data and UL HARQ-ACK transmissions, the UE may need to process the received DL data and transmit HARQ-ACK feedback within certain duration. To keep the COT transmission self-contained while provides UE enough process time, the last several OFDM symbols in the DL transmission may be carefully </w:t>
      </w:r>
      <w:r w:rsidR="00A9027C">
        <w:rPr>
          <w:szCs w:val="22"/>
          <w:lang w:eastAsia="sv-SE"/>
        </w:rPr>
        <w:t>planned</w:t>
      </w:r>
      <w:r>
        <w:rPr>
          <w:szCs w:val="22"/>
          <w:lang w:eastAsia="sv-SE"/>
        </w:rPr>
        <w:t xml:space="preserve"> such that HARQ-ACK transmissions can be included in the COT.</w:t>
      </w:r>
      <w:r w:rsidR="00936D48">
        <w:rPr>
          <w:szCs w:val="22"/>
          <w:lang w:eastAsia="sv-SE"/>
        </w:rPr>
        <w:t xml:space="preserve"> </w:t>
      </w:r>
    </w:p>
    <w:p w14:paraId="7DC13D07" w14:textId="77777777" w:rsidR="00E213BD" w:rsidRPr="00195028" w:rsidRDefault="00E213BD" w:rsidP="00E213BD"/>
    <w:p w14:paraId="794F38AA" w14:textId="621A805A" w:rsidR="00E213BD" w:rsidRPr="001E0E46" w:rsidRDefault="00E213BD" w:rsidP="00E213BD">
      <w:pPr>
        <w:rPr>
          <w:szCs w:val="22"/>
          <w:lang w:eastAsia="sv-SE"/>
        </w:rPr>
      </w:pPr>
      <w:r w:rsidRPr="00195028">
        <w:rPr>
          <w:b/>
          <w:i/>
          <w:u w:val="single"/>
        </w:rPr>
        <w:t xml:space="preserve">Proposal </w:t>
      </w:r>
      <w:r w:rsidR="00407B4D">
        <w:rPr>
          <w:b/>
          <w:i/>
          <w:u w:val="single"/>
        </w:rPr>
        <w:t>1</w:t>
      </w:r>
      <w:r w:rsidRPr="00195028">
        <w:rPr>
          <w:b/>
          <w:i/>
          <w:u w:val="single"/>
        </w:rPr>
        <w:t>:</w:t>
      </w:r>
      <w:r w:rsidRPr="00195028">
        <w:rPr>
          <w:b/>
          <w:i/>
        </w:rPr>
        <w:t xml:space="preserve"> </w:t>
      </w:r>
      <w:r w:rsidR="000055B3">
        <w:rPr>
          <w:i/>
          <w:iCs/>
        </w:rPr>
        <w:t>Self-contained COT should be studied in standalone and dual connectivity scenarios for NR unlicensed spectrum.</w:t>
      </w:r>
    </w:p>
    <w:p w14:paraId="6F3DCD2A" w14:textId="77777777" w:rsidR="00E213BD" w:rsidRPr="00E213BD" w:rsidRDefault="00E213BD" w:rsidP="00E213BD">
      <w:pPr>
        <w:rPr>
          <w:szCs w:val="22"/>
          <w:lang w:eastAsia="sv-SE"/>
        </w:rPr>
      </w:pPr>
    </w:p>
    <w:p w14:paraId="000E184F" w14:textId="4A4DD08B" w:rsidR="00ED6876" w:rsidRPr="00BC024D" w:rsidRDefault="00FE235E" w:rsidP="00ED6876">
      <w:pPr>
        <w:pStyle w:val="Heading1"/>
        <w:rPr>
          <w:rFonts w:ascii="Times New Roman" w:hAnsi="Times New Roman"/>
          <w:b/>
          <w:sz w:val="32"/>
          <w:szCs w:val="32"/>
          <w:lang w:val="en-US"/>
        </w:rPr>
      </w:pPr>
      <w:r>
        <w:rPr>
          <w:rFonts w:ascii="Times New Roman" w:hAnsi="Times New Roman"/>
          <w:b/>
          <w:sz w:val="32"/>
          <w:szCs w:val="32"/>
        </w:rPr>
        <w:t xml:space="preserve">HARQ Procedure </w:t>
      </w:r>
      <w:r w:rsidR="00651144">
        <w:rPr>
          <w:rFonts w:ascii="Times New Roman" w:hAnsi="Times New Roman"/>
          <w:b/>
          <w:sz w:val="32"/>
          <w:szCs w:val="32"/>
        </w:rPr>
        <w:t>for</w:t>
      </w:r>
      <w:r w:rsidR="00ED6876" w:rsidRPr="00ED6876">
        <w:rPr>
          <w:rFonts w:ascii="Times New Roman" w:hAnsi="Times New Roman"/>
          <w:b/>
          <w:sz w:val="32"/>
          <w:szCs w:val="32"/>
        </w:rPr>
        <w:t xml:space="preserve"> </w:t>
      </w:r>
      <w:r>
        <w:rPr>
          <w:rFonts w:ascii="Times New Roman" w:hAnsi="Times New Roman"/>
          <w:b/>
          <w:sz w:val="32"/>
          <w:szCs w:val="32"/>
        </w:rPr>
        <w:t xml:space="preserve">DL/UL </w:t>
      </w:r>
      <w:r w:rsidR="00DB2BFF">
        <w:rPr>
          <w:rFonts w:ascii="Times New Roman" w:hAnsi="Times New Roman"/>
          <w:b/>
          <w:sz w:val="32"/>
          <w:szCs w:val="32"/>
        </w:rPr>
        <w:t>Transmissions</w:t>
      </w:r>
    </w:p>
    <w:p w14:paraId="4BCF5685" w14:textId="35527276" w:rsidR="007966D3" w:rsidRDefault="00F075FC" w:rsidP="001C7701">
      <w:r>
        <w:rPr>
          <w:rFonts w:eastAsia="Times New Roman"/>
          <w:lang w:eastAsia="x-none"/>
        </w:rPr>
        <w:t xml:space="preserve">Two mechanisms have been defined to allow a UE to perform uplink transmission without grant. </w:t>
      </w:r>
      <w:r w:rsidR="00F80FB3">
        <w:t>A</w:t>
      </w:r>
      <w:r w:rsidRPr="00195028">
        <w:t xml:space="preserve">utonomous uplink transmission (AUL) </w:t>
      </w:r>
      <w:r w:rsidR="00C72D7D">
        <w:t xml:space="preserve">in </w:t>
      </w:r>
      <w:r>
        <w:t>Fe</w:t>
      </w:r>
      <w:r w:rsidRPr="00195028">
        <w:t xml:space="preserve">LAA </w:t>
      </w:r>
      <w:r w:rsidR="00C72D7D">
        <w:t xml:space="preserve">has been </w:t>
      </w:r>
      <w:r w:rsidRPr="00195028">
        <w:t xml:space="preserve">under discussion for the latest release </w:t>
      </w:r>
      <w:r w:rsidRPr="00195028">
        <w:fldChar w:fldCharType="begin"/>
      </w:r>
      <w:r w:rsidRPr="00195028">
        <w:instrText xml:space="preserve"> REF _Ref506455132 \r \h  \* MERGEFORMAT </w:instrText>
      </w:r>
      <w:r w:rsidRPr="00195028">
        <w:fldChar w:fldCharType="separate"/>
      </w:r>
      <w:r w:rsidRPr="00195028">
        <w:t>[</w:t>
      </w:r>
      <w:r>
        <w:t>5</w:t>
      </w:r>
      <w:r w:rsidRPr="00195028">
        <w:t>]</w:t>
      </w:r>
      <w:r w:rsidRPr="00195028">
        <w:fldChar w:fldCharType="end"/>
      </w:r>
      <w:r w:rsidRPr="00195028">
        <w:t>.</w:t>
      </w:r>
      <w:r>
        <w:t xml:space="preserve"> </w:t>
      </w:r>
      <w:r w:rsidR="005C6DC3" w:rsidRPr="005C6DC3">
        <w:t>AUL operation is UE specifically RRC configured</w:t>
      </w:r>
      <w:r w:rsidR="005C6DC3">
        <w:t xml:space="preserve">. </w:t>
      </w:r>
      <w:r>
        <w:t xml:space="preserve">A DCI </w:t>
      </w:r>
      <w:r w:rsidR="005C6DC3">
        <w:t>is</w:t>
      </w:r>
      <w:r>
        <w:t xml:space="preserve"> transmitted for AUL activation and </w:t>
      </w:r>
      <w:r w:rsidR="005C6DC3">
        <w:t>deactivation</w:t>
      </w:r>
      <w:r>
        <w:t xml:space="preserve">. An AUL downlink feedback information (AUL-DFI) is specified to carry AUL HARQ feedback. HARQ-ACK bitmap for AUL-configured HARQ process </w:t>
      </w:r>
      <w:r w:rsidR="005C6DC3">
        <w:t>is included in</w:t>
      </w:r>
      <w:r>
        <w:t xml:space="preserve"> AUL-DFI. </w:t>
      </w:r>
      <w:r w:rsidR="00B86D29">
        <w:t xml:space="preserve">The AUL-DFI transmission </w:t>
      </w:r>
      <w:r w:rsidR="00C72D7D">
        <w:t xml:space="preserve">may be </w:t>
      </w:r>
      <w:r w:rsidR="00B86D29">
        <w:t>supported on unlicensed band.</w:t>
      </w:r>
      <w:r w:rsidR="005C6DC3">
        <w:t xml:space="preserve"> HARQ ID, NDI and RV may be determined by UE and carried in </w:t>
      </w:r>
      <w:r w:rsidR="00C72D7D">
        <w:t xml:space="preserve">a </w:t>
      </w:r>
      <w:r w:rsidR="005C6DC3">
        <w:t>UCI</w:t>
      </w:r>
      <w:r w:rsidR="00AC659F">
        <w:t xml:space="preserve"> and</w:t>
      </w:r>
      <w:r w:rsidR="00C72D7D">
        <w:t xml:space="preserve"> transmitted together with AUL PUSCH.</w:t>
      </w:r>
    </w:p>
    <w:p w14:paraId="3D435B4A" w14:textId="0796E268" w:rsidR="00F075FC" w:rsidRDefault="00407B4D" w:rsidP="001C7701">
      <w:r>
        <w:t>Configured grant for UL transmission</w:t>
      </w:r>
      <w:r w:rsidR="007966D3">
        <w:t xml:space="preserve"> </w:t>
      </w:r>
      <w:r w:rsidR="001E7691">
        <w:t>has</w:t>
      </w:r>
      <w:r w:rsidR="007966D3">
        <w:t xml:space="preserve"> been discussed in NR.</w:t>
      </w:r>
      <w:r w:rsidR="001E7691">
        <w:t xml:space="preserve"> With type 1 </w:t>
      </w:r>
      <w:r>
        <w:t>configured grant</w:t>
      </w:r>
      <w:r w:rsidR="001E7691">
        <w:t xml:space="preserve">, UL transmission is only based on RRC configuration without L1 signalling. With type 2 </w:t>
      </w:r>
      <w:r>
        <w:t>configured grant</w:t>
      </w:r>
      <w:r w:rsidR="001E7691">
        <w:t>, UL transmission is based on RRC configuration and L1 signalling. With both types, a UE can be configured by UE-specific RRC signalling. The RRC co</w:t>
      </w:r>
      <w:r>
        <w:t xml:space="preserve">nfiguration includes MCS table. Moreover, TB repetition for UL configured grant is adopted in NR. The higher layer configured parameters repK and repK-RV are used to define the K repetition transmissions and corresponding RV values. </w:t>
      </w:r>
    </w:p>
    <w:p w14:paraId="42786AD3" w14:textId="7F7BF28D" w:rsidR="00407B4D" w:rsidRDefault="00407B4D" w:rsidP="001C7701">
      <w:r>
        <w:t>For NR</w:t>
      </w:r>
      <w:r w:rsidR="009241A4">
        <w:t xml:space="preserve"> unlicensed</w:t>
      </w:r>
      <w:r>
        <w:t xml:space="preserve"> transmission,</w:t>
      </w:r>
      <w:r w:rsidR="00236E78">
        <w:t xml:space="preserve"> UE may need to transmit without grant when the channel is free. It may be difficult for the gNB to predict the channel condition when UE is able to transmit. Thus it is reasonable for UE to determine some transmission parameters such as HARQ ID, RV and NDI. Moreover, the UL transmission from a UE may collide with other </w:t>
      </w:r>
      <w:r w:rsidR="002D702F">
        <w:t>transmissions</w:t>
      </w:r>
      <w:r w:rsidR="00236E78">
        <w:t xml:space="preserve"> due the nature of unlicensed transmission. </w:t>
      </w:r>
      <w:proofErr w:type="gramStart"/>
      <w:r w:rsidR="00236E78">
        <w:t>In order to</w:t>
      </w:r>
      <w:proofErr w:type="gramEnd"/>
      <w:r w:rsidR="00236E78">
        <w:t xml:space="preserve"> protect the GF UL transmission, K repetition tra</w:t>
      </w:r>
      <w:r w:rsidR="00AC659F">
        <w:t>nsmission should be considered i</w:t>
      </w:r>
      <w:r w:rsidR="00236E78">
        <w:t>n NR</w:t>
      </w:r>
      <w:r w:rsidR="00AC659F">
        <w:t>-</w:t>
      </w:r>
      <w:r w:rsidR="00236E78">
        <w:t>U.</w:t>
      </w:r>
    </w:p>
    <w:p w14:paraId="1B3D7048" w14:textId="337AEFB8" w:rsidR="005E7388" w:rsidRDefault="00592326" w:rsidP="005E7388">
      <w:r>
        <w:t>Also, w</w:t>
      </w:r>
      <w:r w:rsidR="005E7388" w:rsidRPr="00195028">
        <w:t xml:space="preserve">e note that NR has added new features which may impact on the operation of the </w:t>
      </w:r>
      <w:r w:rsidR="00407B4D">
        <w:t>HARQ retransmissions</w:t>
      </w:r>
      <w:r w:rsidR="005E7388" w:rsidRPr="00195028">
        <w:t xml:space="preserve">. For instance, NR utilizes capacity approaching Low Density Parity Check (LDPC) codes for data channel transmission while LTE utilizes Turbo codes. </w:t>
      </w:r>
      <w:r w:rsidR="00407B4D">
        <w:t>With the use of LDPC codes, code block group</w:t>
      </w:r>
      <w:r w:rsidR="00AC659F">
        <w:t>s</w:t>
      </w:r>
      <w:r w:rsidR="00407B4D">
        <w:t xml:space="preserve"> (CBG) </w:t>
      </w:r>
      <w:r w:rsidR="00AC659F">
        <w:t xml:space="preserve">are </w:t>
      </w:r>
      <w:r w:rsidR="00407B4D">
        <w:t>defined</w:t>
      </w:r>
      <w:r w:rsidR="00AC659F">
        <w:t xml:space="preserve"> </w:t>
      </w:r>
      <w:r w:rsidR="00407B4D">
        <w:t xml:space="preserve">within a transport block. CBG based HARQ-ACK codebook is supported in NR, which enables more flexible and efficient data retransmission in the cost of additional HARQ-ACK information bits. </w:t>
      </w:r>
      <w:r w:rsidR="005E7388" w:rsidRPr="00195028">
        <w:t xml:space="preserve"> </w:t>
      </w:r>
    </w:p>
    <w:p w14:paraId="1F0946AA" w14:textId="77777777" w:rsidR="005E7388" w:rsidRDefault="005E7388" w:rsidP="005E7388">
      <w:pPr>
        <w:rPr>
          <w:b/>
          <w:i/>
          <w:u w:val="single"/>
        </w:rPr>
      </w:pPr>
    </w:p>
    <w:p w14:paraId="03934E92" w14:textId="6230D09C" w:rsidR="00592326" w:rsidRDefault="00592326" w:rsidP="00592326">
      <w:pPr>
        <w:rPr>
          <w:i/>
        </w:rPr>
      </w:pPr>
      <w:r w:rsidRPr="00195028">
        <w:rPr>
          <w:b/>
          <w:i/>
          <w:u w:val="single"/>
        </w:rPr>
        <w:t xml:space="preserve">Proposal </w:t>
      </w:r>
      <w:r>
        <w:rPr>
          <w:b/>
          <w:i/>
          <w:u w:val="single"/>
        </w:rPr>
        <w:t>2</w:t>
      </w:r>
      <w:r w:rsidRPr="00195028">
        <w:rPr>
          <w:b/>
          <w:i/>
          <w:u w:val="single"/>
        </w:rPr>
        <w:t>:</w:t>
      </w:r>
      <w:r w:rsidRPr="00195028">
        <w:rPr>
          <w:b/>
          <w:i/>
        </w:rPr>
        <w:t xml:space="preserve"> </w:t>
      </w:r>
      <w:r w:rsidR="00FE235E">
        <w:rPr>
          <w:i/>
        </w:rPr>
        <w:t>F</w:t>
      </w:r>
      <w:r w:rsidR="00FE235E">
        <w:rPr>
          <w:i/>
        </w:rPr>
        <w:t>or NR-U operation</w:t>
      </w:r>
      <w:r w:rsidR="00FE235E">
        <w:rPr>
          <w:i/>
        </w:rPr>
        <w:t>, t</w:t>
      </w:r>
      <w:r>
        <w:rPr>
          <w:i/>
        </w:rPr>
        <w:t>he process for AUL a</w:t>
      </w:r>
      <w:r w:rsidRPr="00F25787">
        <w:rPr>
          <w:i/>
        </w:rPr>
        <w:t>cknowledgement</w:t>
      </w:r>
      <w:r w:rsidRPr="00342E83">
        <w:rPr>
          <w:b/>
          <w:i/>
        </w:rPr>
        <w:t xml:space="preserve"> </w:t>
      </w:r>
      <w:r>
        <w:rPr>
          <w:i/>
        </w:rPr>
        <w:t>defined in FeLAA</w:t>
      </w:r>
      <w:r w:rsidRPr="00195028">
        <w:rPr>
          <w:i/>
        </w:rPr>
        <w:t xml:space="preserve"> should be </w:t>
      </w:r>
      <w:r>
        <w:rPr>
          <w:i/>
        </w:rPr>
        <w:t>evaluated and updated</w:t>
      </w:r>
      <w:r w:rsidR="00FE235E">
        <w:rPr>
          <w:i/>
        </w:rPr>
        <w:t xml:space="preserve"> considering new NR features</w:t>
      </w:r>
      <w:r w:rsidRPr="00195028">
        <w:rPr>
          <w:i/>
        </w:rPr>
        <w:t>.</w:t>
      </w:r>
    </w:p>
    <w:p w14:paraId="41E89D55" w14:textId="5A2F3EB3" w:rsidR="005E7388" w:rsidRDefault="005E7388" w:rsidP="005E7388">
      <w:pPr>
        <w:rPr>
          <w:i/>
        </w:rPr>
      </w:pPr>
      <w:r w:rsidRPr="00195028">
        <w:rPr>
          <w:b/>
          <w:i/>
          <w:u w:val="single"/>
        </w:rPr>
        <w:t xml:space="preserve">Proposal </w:t>
      </w:r>
      <w:r w:rsidR="007D4EC9">
        <w:rPr>
          <w:b/>
          <w:i/>
          <w:u w:val="single"/>
        </w:rPr>
        <w:t>3</w:t>
      </w:r>
      <w:r w:rsidRPr="00195028">
        <w:rPr>
          <w:b/>
          <w:i/>
          <w:u w:val="single"/>
        </w:rPr>
        <w:t>:</w:t>
      </w:r>
      <w:r w:rsidRPr="00195028">
        <w:rPr>
          <w:b/>
          <w:i/>
        </w:rPr>
        <w:t xml:space="preserve"> </w:t>
      </w:r>
      <w:r w:rsidR="00407B4D" w:rsidRPr="00407B4D">
        <w:rPr>
          <w:i/>
        </w:rPr>
        <w:t>CBG based HARQ-ACK codebook</w:t>
      </w:r>
      <w:r w:rsidRPr="00195028">
        <w:rPr>
          <w:i/>
        </w:rPr>
        <w:t xml:space="preserve"> should be considered for NR unlicensed spectrum.</w:t>
      </w:r>
    </w:p>
    <w:p w14:paraId="56C235F3" w14:textId="77777777" w:rsidR="00407B4D" w:rsidRPr="00195028" w:rsidRDefault="00407B4D" w:rsidP="005E7388">
      <w:pPr>
        <w:rPr>
          <w:i/>
        </w:rPr>
      </w:pPr>
      <w:bookmarkStart w:id="1" w:name="_GoBack"/>
      <w:bookmarkEnd w:id="1"/>
    </w:p>
    <w:p w14:paraId="13E89ADA" w14:textId="5FEC10FB" w:rsidR="005E7388" w:rsidRPr="00195028" w:rsidRDefault="005E7388" w:rsidP="005E7388">
      <w:r w:rsidRPr="00195028">
        <w:t xml:space="preserve">Four Redundancy Versions (RVs) are supported for HARQ transmissions in NR (where a subset of the RV set is self-decodable with good performance). </w:t>
      </w:r>
      <w:r w:rsidR="00407B4D">
        <w:t xml:space="preserve">In NR, RV sequences {0, 2, 3, 1}, {0, 3, 0, 3} and {0, 0, 0, 0} are possible for UL configured grant transmissions. RV sequence used for configured grant </w:t>
      </w:r>
      <w:r w:rsidR="002D702F">
        <w:t>transmission</w:t>
      </w:r>
      <w:r w:rsidR="00407B4D">
        <w:t xml:space="preserve"> can be determined by higher layer. </w:t>
      </w:r>
      <w:r w:rsidRPr="00195028">
        <w:t xml:space="preserve">Data channel transmissions in unlicensed spectrum </w:t>
      </w:r>
      <w:r>
        <w:t>are</w:t>
      </w:r>
      <w:r w:rsidRPr="00195028">
        <w:t xml:space="preserve"> more vulnerable to collision or interference due to the nature of contention based transmission. In the worst-case scenario, reception failure due to collision/interference may corrupt transmission</w:t>
      </w:r>
      <w:r>
        <w:t>s</w:t>
      </w:r>
      <w:r w:rsidRPr="00195028">
        <w:t xml:space="preserve"> enough to be unusable for HARQ combining. Therefore, self-decodable RVs may be preferred for retransmission.</w:t>
      </w:r>
      <w:r w:rsidR="00407B4D">
        <w:t xml:space="preserve"> </w:t>
      </w:r>
    </w:p>
    <w:p w14:paraId="5D894FEC" w14:textId="77777777" w:rsidR="005E7388" w:rsidRDefault="005E7388" w:rsidP="005E7388">
      <w:pPr>
        <w:rPr>
          <w:b/>
          <w:i/>
          <w:u w:val="single"/>
        </w:rPr>
      </w:pPr>
    </w:p>
    <w:p w14:paraId="77CBE972" w14:textId="1F23B198" w:rsidR="005E7388" w:rsidRPr="00195028" w:rsidRDefault="00D72ABF" w:rsidP="005E7388">
      <w:pPr>
        <w:rPr>
          <w:i/>
        </w:rPr>
      </w:pPr>
      <w:r>
        <w:rPr>
          <w:b/>
          <w:i/>
          <w:u w:val="single"/>
        </w:rPr>
        <w:t xml:space="preserve">Proposal </w:t>
      </w:r>
      <w:r w:rsidR="007D4EC9">
        <w:rPr>
          <w:b/>
          <w:i/>
          <w:u w:val="single"/>
        </w:rPr>
        <w:t>4</w:t>
      </w:r>
      <w:r w:rsidR="005E7388" w:rsidRPr="00195028">
        <w:rPr>
          <w:b/>
          <w:i/>
          <w:u w:val="single"/>
        </w:rPr>
        <w:t>:</w:t>
      </w:r>
      <w:r w:rsidR="005E7388" w:rsidRPr="00195028">
        <w:rPr>
          <w:b/>
          <w:i/>
        </w:rPr>
        <w:t xml:space="preserve"> </w:t>
      </w:r>
      <w:r w:rsidR="005E7388" w:rsidRPr="00195028">
        <w:rPr>
          <w:i/>
        </w:rPr>
        <w:t>Self-decodable RV sequence should be considered for NR unlicensed spectrum.</w:t>
      </w:r>
    </w:p>
    <w:p w14:paraId="31A10755" w14:textId="77777777" w:rsidR="00ED6876" w:rsidRPr="001E0E46" w:rsidRDefault="00ED6876" w:rsidP="00215991"/>
    <w:p w14:paraId="596E93DF" w14:textId="4893F5BD" w:rsidR="00821C42" w:rsidRPr="00BC024D" w:rsidRDefault="00BF17FD" w:rsidP="00821C42">
      <w:pPr>
        <w:pStyle w:val="Heading1"/>
        <w:pBdr>
          <w:top w:val="single" w:sz="12" w:space="5" w:color="auto"/>
        </w:pBdr>
        <w:spacing w:after="120"/>
        <w:rPr>
          <w:rFonts w:ascii="Times New Roman" w:hAnsi="Times New Roman"/>
          <w:b/>
          <w:sz w:val="32"/>
          <w:lang w:val="en-US"/>
        </w:rPr>
      </w:pPr>
      <w:r w:rsidRPr="00BC024D">
        <w:rPr>
          <w:rFonts w:ascii="Times New Roman" w:hAnsi="Times New Roman"/>
          <w:b/>
          <w:sz w:val="32"/>
          <w:lang w:val="en-US"/>
        </w:rPr>
        <w:t>Summary</w:t>
      </w:r>
    </w:p>
    <w:p w14:paraId="364E7615" w14:textId="252ED5E6" w:rsidR="0053467A" w:rsidRPr="001E0E46" w:rsidRDefault="0053467A" w:rsidP="0053467A">
      <w:pPr>
        <w:rPr>
          <w:szCs w:val="22"/>
        </w:rPr>
      </w:pPr>
      <w:r>
        <w:rPr>
          <w:szCs w:val="22"/>
        </w:rPr>
        <w:t>In t</w:t>
      </w:r>
      <w:r w:rsidRPr="001E0E46">
        <w:rPr>
          <w:szCs w:val="22"/>
        </w:rPr>
        <w:t>his contribution</w:t>
      </w:r>
      <w:r>
        <w:rPr>
          <w:szCs w:val="22"/>
        </w:rPr>
        <w:t>, we</w:t>
      </w:r>
      <w:r w:rsidRPr="001E0E46">
        <w:rPr>
          <w:szCs w:val="22"/>
        </w:rPr>
        <w:t xml:space="preserve"> discussed</w:t>
      </w:r>
      <w:r>
        <w:rPr>
          <w:szCs w:val="22"/>
        </w:rPr>
        <w:t xml:space="preserve"> some details about a few NR procedures that require changes due to operation in unlicensed bands including </w:t>
      </w:r>
      <w:r w:rsidR="00453273">
        <w:rPr>
          <w:szCs w:val="22"/>
        </w:rPr>
        <w:t xml:space="preserve">self-contained HARQ, UL transmissions and acknowledgements, </w:t>
      </w:r>
      <w:r w:rsidR="00D72ABF">
        <w:rPr>
          <w:szCs w:val="22"/>
        </w:rPr>
        <w:t>CBG level HARQ-ACK feedback and RV sequence design</w:t>
      </w:r>
      <w:r>
        <w:t>.</w:t>
      </w:r>
      <w:r>
        <w:rPr>
          <w:szCs w:val="22"/>
        </w:rPr>
        <w:t xml:space="preserve"> In the following, above-discussed proposals are listed:</w:t>
      </w:r>
    </w:p>
    <w:p w14:paraId="5B916914" w14:textId="77777777" w:rsidR="00D72ABF" w:rsidRPr="001E0E46" w:rsidRDefault="00D72ABF" w:rsidP="00D72ABF">
      <w:pPr>
        <w:rPr>
          <w:szCs w:val="22"/>
          <w:lang w:eastAsia="sv-SE"/>
        </w:rPr>
      </w:pPr>
      <w:r w:rsidRPr="00195028">
        <w:rPr>
          <w:b/>
          <w:i/>
          <w:u w:val="single"/>
        </w:rPr>
        <w:t xml:space="preserve">Proposal </w:t>
      </w:r>
      <w:r>
        <w:rPr>
          <w:b/>
          <w:i/>
          <w:u w:val="single"/>
        </w:rPr>
        <w:t>1</w:t>
      </w:r>
      <w:r w:rsidRPr="00195028">
        <w:rPr>
          <w:b/>
          <w:i/>
          <w:u w:val="single"/>
        </w:rPr>
        <w:t>:</w:t>
      </w:r>
      <w:r w:rsidRPr="00195028">
        <w:rPr>
          <w:b/>
          <w:i/>
        </w:rPr>
        <w:t xml:space="preserve"> </w:t>
      </w:r>
      <w:r>
        <w:rPr>
          <w:i/>
          <w:iCs/>
        </w:rPr>
        <w:t>Self-contained COT should be studied in standalone and dual connectivity scenarios for NR unlicensed spectrum.</w:t>
      </w:r>
    </w:p>
    <w:p w14:paraId="29B60C32" w14:textId="77777777" w:rsidR="00FE235E" w:rsidRDefault="00FE235E" w:rsidP="00FE235E">
      <w:pPr>
        <w:rPr>
          <w:i/>
        </w:rPr>
      </w:pPr>
      <w:r w:rsidRPr="00195028">
        <w:rPr>
          <w:b/>
          <w:i/>
          <w:u w:val="single"/>
        </w:rPr>
        <w:t xml:space="preserve">Proposal </w:t>
      </w:r>
      <w:r>
        <w:rPr>
          <w:b/>
          <w:i/>
          <w:u w:val="single"/>
        </w:rPr>
        <w:t>2</w:t>
      </w:r>
      <w:r w:rsidRPr="00195028">
        <w:rPr>
          <w:b/>
          <w:i/>
          <w:u w:val="single"/>
        </w:rPr>
        <w:t>:</w:t>
      </w:r>
      <w:r w:rsidRPr="00195028">
        <w:rPr>
          <w:b/>
          <w:i/>
        </w:rPr>
        <w:t xml:space="preserve"> </w:t>
      </w:r>
      <w:r>
        <w:rPr>
          <w:i/>
        </w:rPr>
        <w:t>For NR-U operation, the process for AUL a</w:t>
      </w:r>
      <w:r w:rsidRPr="00F25787">
        <w:rPr>
          <w:i/>
        </w:rPr>
        <w:t>cknowledgement</w:t>
      </w:r>
      <w:r w:rsidRPr="00342E83">
        <w:rPr>
          <w:b/>
          <w:i/>
        </w:rPr>
        <w:t xml:space="preserve"> </w:t>
      </w:r>
      <w:r>
        <w:rPr>
          <w:i/>
        </w:rPr>
        <w:t>defined in FeLAA</w:t>
      </w:r>
      <w:r w:rsidRPr="00195028">
        <w:rPr>
          <w:i/>
        </w:rPr>
        <w:t xml:space="preserve"> should be </w:t>
      </w:r>
      <w:r>
        <w:rPr>
          <w:i/>
        </w:rPr>
        <w:t>evaluated and updated considering new NR features</w:t>
      </w:r>
      <w:r w:rsidRPr="00195028">
        <w:rPr>
          <w:i/>
        </w:rPr>
        <w:t>.</w:t>
      </w:r>
    </w:p>
    <w:p w14:paraId="5027040F" w14:textId="27A63980" w:rsidR="00D72ABF" w:rsidRDefault="00D72ABF" w:rsidP="00D72ABF">
      <w:pPr>
        <w:rPr>
          <w:i/>
        </w:rPr>
      </w:pPr>
      <w:r w:rsidRPr="00195028">
        <w:rPr>
          <w:b/>
          <w:i/>
          <w:u w:val="single"/>
        </w:rPr>
        <w:t xml:space="preserve">Proposal </w:t>
      </w:r>
      <w:r w:rsidR="007D4EC9">
        <w:rPr>
          <w:b/>
          <w:i/>
          <w:u w:val="single"/>
        </w:rPr>
        <w:t>3</w:t>
      </w:r>
      <w:r w:rsidRPr="00195028">
        <w:rPr>
          <w:b/>
          <w:i/>
          <w:u w:val="single"/>
        </w:rPr>
        <w:t>:</w:t>
      </w:r>
      <w:r w:rsidRPr="00195028">
        <w:rPr>
          <w:b/>
          <w:i/>
        </w:rPr>
        <w:t xml:space="preserve"> </w:t>
      </w:r>
      <w:r w:rsidRPr="00407B4D">
        <w:rPr>
          <w:i/>
        </w:rPr>
        <w:t>CBG based HARQ-ACK codebook</w:t>
      </w:r>
      <w:r w:rsidRPr="00195028">
        <w:rPr>
          <w:i/>
        </w:rPr>
        <w:t xml:space="preserve"> should be considered for NR unlicensed spectrum.</w:t>
      </w:r>
    </w:p>
    <w:p w14:paraId="154B1A97" w14:textId="0243D565" w:rsidR="00D72ABF" w:rsidRDefault="00D72ABF" w:rsidP="00D72ABF">
      <w:pPr>
        <w:rPr>
          <w:i/>
        </w:rPr>
      </w:pPr>
      <w:r>
        <w:rPr>
          <w:b/>
          <w:i/>
          <w:u w:val="single"/>
        </w:rPr>
        <w:t xml:space="preserve">Proposal </w:t>
      </w:r>
      <w:r w:rsidR="007D4EC9">
        <w:rPr>
          <w:b/>
          <w:i/>
          <w:u w:val="single"/>
        </w:rPr>
        <w:t>4</w:t>
      </w:r>
      <w:r w:rsidRPr="00195028">
        <w:rPr>
          <w:b/>
          <w:i/>
          <w:u w:val="single"/>
        </w:rPr>
        <w:t>:</w:t>
      </w:r>
      <w:r w:rsidRPr="00195028">
        <w:rPr>
          <w:b/>
          <w:i/>
        </w:rPr>
        <w:t xml:space="preserve"> </w:t>
      </w:r>
      <w:r w:rsidRPr="00195028">
        <w:rPr>
          <w:i/>
        </w:rPr>
        <w:t>Self-decodable RV sequence should be considered for NR unlicensed spectrum.</w:t>
      </w:r>
    </w:p>
    <w:p w14:paraId="3A0D2CCB" w14:textId="77777777" w:rsidR="00D72ABF" w:rsidRPr="001E0E46" w:rsidRDefault="00D72ABF" w:rsidP="00D72ABF">
      <w:pPr>
        <w:rPr>
          <w:sz w:val="20"/>
        </w:rPr>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1CA3A936" w14:textId="0EA01C11" w:rsidR="00E246F8" w:rsidRDefault="00BC024D" w:rsidP="005266DD">
      <w:pPr>
        <w:pStyle w:val="Reference"/>
        <w:rPr>
          <w:szCs w:val="22"/>
        </w:rPr>
      </w:pPr>
      <w:bookmarkStart w:id="2" w:name="_Ref455734493"/>
      <w:bookmarkStart w:id="3" w:name="_Ref434502751"/>
      <w:bookmarkStart w:id="4" w:name="_Ref419296613"/>
      <w:bookmarkStart w:id="5" w:name="_Ref434227915"/>
      <w:bookmarkStart w:id="6" w:name="_Ref434501473"/>
      <w:r>
        <w:rPr>
          <w:szCs w:val="22"/>
        </w:rPr>
        <w:t>RAN1#92</w:t>
      </w:r>
      <w:r w:rsidR="00993EFE">
        <w:rPr>
          <w:szCs w:val="22"/>
        </w:rPr>
        <w:t>bis</w:t>
      </w:r>
      <w:r w:rsidR="005266DD" w:rsidRPr="001E0E46">
        <w:rPr>
          <w:szCs w:val="22"/>
        </w:rPr>
        <w:t xml:space="preserve"> Chairman’s Note</w:t>
      </w:r>
      <w:bookmarkEnd w:id="2"/>
      <w:r w:rsidR="005266DD" w:rsidRPr="001E0E46">
        <w:rPr>
          <w:szCs w:val="22"/>
        </w:rPr>
        <w:t>s</w:t>
      </w:r>
      <w:bookmarkEnd w:id="3"/>
      <w:bookmarkEnd w:id="4"/>
      <w:bookmarkEnd w:id="5"/>
      <w:bookmarkEnd w:id="6"/>
    </w:p>
    <w:p w14:paraId="243E18A9" w14:textId="77777777" w:rsidR="00F075FC" w:rsidRPr="007C34BE" w:rsidRDefault="00F075FC" w:rsidP="00993EFE">
      <w:pPr>
        <w:pStyle w:val="Reference"/>
        <w:numPr>
          <w:ilvl w:val="0"/>
          <w:numId w:val="0"/>
        </w:numPr>
        <w:rPr>
          <w:szCs w:val="22"/>
        </w:rPr>
      </w:pPr>
    </w:p>
    <w:sectPr w:rsidR="00F075FC" w:rsidRPr="007C34BE"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14BA2" w14:textId="77777777" w:rsidR="004B0AA8" w:rsidRDefault="004B0AA8">
      <w:r>
        <w:separator/>
      </w:r>
    </w:p>
  </w:endnote>
  <w:endnote w:type="continuationSeparator" w:id="0">
    <w:p w14:paraId="389A0D9D" w14:textId="77777777" w:rsidR="004B0AA8" w:rsidRDefault="004B0AA8">
      <w:r>
        <w:continuationSeparator/>
      </w:r>
    </w:p>
  </w:endnote>
  <w:endnote w:type="continuationNotice" w:id="1">
    <w:p w14:paraId="3E85A8C9" w14:textId="77777777" w:rsidR="004B0AA8" w:rsidRDefault="004B0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1E10558" w:rsidR="009241A4" w:rsidRDefault="009241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5A0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5A0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B635E" w14:textId="77777777" w:rsidR="004B0AA8" w:rsidRDefault="004B0AA8">
      <w:r>
        <w:separator/>
      </w:r>
    </w:p>
  </w:footnote>
  <w:footnote w:type="continuationSeparator" w:id="0">
    <w:p w14:paraId="190B17C1" w14:textId="77777777" w:rsidR="004B0AA8" w:rsidRDefault="004B0AA8">
      <w:r>
        <w:continuationSeparator/>
      </w:r>
    </w:p>
  </w:footnote>
  <w:footnote w:type="continuationNotice" w:id="1">
    <w:p w14:paraId="2B7D8E28" w14:textId="77777777" w:rsidR="004B0AA8" w:rsidRDefault="004B0A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241A4" w:rsidRDefault="009241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9"/>
  </w:num>
  <w:num w:numId="7">
    <w:abstractNumId w:val="14"/>
  </w:num>
  <w:num w:numId="8">
    <w:abstractNumId w:val="6"/>
  </w:num>
  <w:num w:numId="9">
    <w:abstractNumId w:val="19"/>
  </w:num>
  <w:num w:numId="10">
    <w:abstractNumId w:val="4"/>
  </w:num>
  <w:num w:numId="11">
    <w:abstractNumId w:val="1"/>
  </w:num>
  <w:num w:numId="12">
    <w:abstractNumId w:val="11"/>
  </w:num>
  <w:num w:numId="13">
    <w:abstractNumId w:val="17"/>
  </w:num>
  <w:num w:numId="14">
    <w:abstractNumId w:val="3"/>
  </w:num>
  <w:num w:numId="15">
    <w:abstractNumId w:val="0"/>
  </w:num>
  <w:num w:numId="16">
    <w:abstractNumId w:val="15"/>
  </w:num>
  <w:num w:numId="17">
    <w:abstractNumId w:val="13"/>
  </w:num>
  <w:num w:numId="18">
    <w:abstractNumId w:val="16"/>
  </w:num>
  <w:num w:numId="19">
    <w:abstractNumId w:val="2"/>
  </w:num>
  <w:num w:numId="20">
    <w:abstractNumId w:val="10"/>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9A7"/>
    <w:rsid w:val="00003E50"/>
    <w:rsid w:val="00003EC3"/>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691"/>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78"/>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804"/>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34D"/>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81D"/>
    <w:rsid w:val="00623058"/>
    <w:rsid w:val="006232E1"/>
    <w:rsid w:val="006234A6"/>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144"/>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6D3"/>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472B"/>
    <w:rsid w:val="007D4EC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1A4"/>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416"/>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59F"/>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2BFF"/>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0C3"/>
    <w:rsid w:val="00EE0D13"/>
    <w:rsid w:val="00EE187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5E"/>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55E7C67-3057-498B-BF22-9F4B93FA8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BC560E0-19ED-4001-AB84-27DA4B75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551</TotalTime>
  <Pages>3</Pages>
  <Words>1163</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HARQ procedure</vt:lpstr>
      <vt:lpstr>Acknowledgement for Uplink Transmissions</vt:lpstr>
      <vt:lpstr>Summary</vt:lpstr>
      <vt:lpstr>References</vt:lpstr>
    </vt:vector>
  </TitlesOfParts>
  <Manager/>
  <Company>InterDigital</Company>
  <LinksUpToDate>false</LinksUpToDate>
  <CharactersWithSpaces>7753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Hedayat, Reza</cp:lastModifiedBy>
  <cp:revision>15</cp:revision>
  <cp:lastPrinted>2014-08-07T20:35:00Z</cp:lastPrinted>
  <dcterms:created xsi:type="dcterms:W3CDTF">2018-05-07T14:47:00Z</dcterms:created>
  <dcterms:modified xsi:type="dcterms:W3CDTF">2018-05-11T21:31:00Z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